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53" w:rsidRDefault="003213C2">
      <w:pPr>
        <w:spacing w:line="300" w:lineRule="auto"/>
        <w:rPr>
          <w:rFonts w:ascii="黑体" w:eastAsia="黑体" w:hAnsi="黑体" w:cs="黑体"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28"/>
          <w:szCs w:val="28"/>
        </w:rPr>
        <w:t>附件</w:t>
      </w:r>
    </w:p>
    <w:p w:rsidR="00A54753" w:rsidRDefault="003213C2">
      <w:pPr>
        <w:spacing w:line="30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河北省高校基层教学组织建设评估指标体系（试行）</w:t>
      </w:r>
    </w:p>
    <w:tbl>
      <w:tblPr>
        <w:tblW w:w="14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028"/>
        <w:gridCol w:w="4452"/>
        <w:gridCol w:w="4368"/>
        <w:gridCol w:w="468"/>
        <w:gridCol w:w="615"/>
        <w:gridCol w:w="540"/>
        <w:gridCol w:w="540"/>
        <w:gridCol w:w="514"/>
        <w:gridCol w:w="745"/>
      </w:tblGrid>
      <w:tr w:rsidR="00A54753">
        <w:trPr>
          <w:cantSplit/>
          <w:trHeight w:val="451"/>
          <w:tblHeader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一级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指标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二级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指标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指标内涵</w:t>
            </w:r>
            <w:r>
              <w:rPr>
                <w:rFonts w:asciiTheme="minorEastAsia" w:hAnsiTheme="minorEastAsia" w:cstheme="minorEastAsia" w:hint="eastAsia"/>
                <w:sz w:val="18"/>
              </w:rPr>
              <w:t>（K</w:t>
            </w:r>
            <w:r>
              <w:rPr>
                <w:rFonts w:asciiTheme="minorEastAsia" w:hAnsiTheme="minorEastAsia" w:cstheme="minorEastAsia" w:hint="eastAsia"/>
                <w:sz w:val="18"/>
                <w:vertAlign w:val="subscript"/>
              </w:rPr>
              <w:t>i</w:t>
            </w:r>
            <w:r>
              <w:rPr>
                <w:rFonts w:asciiTheme="minorEastAsia" w:hAnsiTheme="minorEastAsia" w:cstheme="minorEastAsia" w:hint="eastAsia"/>
                <w:sz w:val="18"/>
              </w:rPr>
              <w:t>）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分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值</w:t>
            </w:r>
            <w:proofErr w:type="spell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Mi</w:t>
            </w:r>
            <w:proofErr w:type="spellEnd"/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自评结果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专家评分</w:t>
            </w:r>
          </w:p>
        </w:tc>
      </w:tr>
      <w:tr w:rsidR="00A54753">
        <w:trPr>
          <w:cantSplit/>
          <w:trHeight w:val="44"/>
          <w:tblHeader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widowControl/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widowControl/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ind w:firstLine="91"/>
              <w:jc w:val="center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asciiTheme="minorEastAsia" w:hAnsiTheme="minorEastAsia" w:cstheme="minorEastAsia" w:hint="eastAsia"/>
                <w:sz w:val="18"/>
              </w:rPr>
              <w:t>A（1.0）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ind w:right="3"/>
              <w:jc w:val="center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asciiTheme="minorEastAsia" w:hAnsiTheme="minorEastAsia" w:cstheme="minorEastAsia" w:hint="eastAsia"/>
                <w:sz w:val="18"/>
              </w:rPr>
              <w:t>C（0.6）</w:t>
            </w: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0.4</w:t>
            </w: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746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1．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师资队伍建设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（8分）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1.1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师资队伍结构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教师队伍结构（职称、年龄、学历、学缘）合理，发展趋势好。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教师队伍结构（职称、年龄、学历、学缘）基本合理。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746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1.2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师资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培养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有合理的师资培养计划和学术带头人培养计划，措施明确，效果显著。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有师资培养计划和学术带头人培养计划，有措施，有效果。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670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重视青年教师的培养，以老带新的导师制实施效果明显，梯队建设效果好。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重视青年教师的培养，以老带新的导师制实施有效果，梯队建设有效果。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79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2．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制度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建设</w:t>
            </w:r>
          </w:p>
          <w:p w:rsidR="00A54753" w:rsidRDefault="003213C2">
            <w:pPr>
              <w:widowControl/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（7分）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2.1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工作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</w:rPr>
              <w:t>制度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有符合学校人才培养定位的基层教学组织发展规划、工作条例、基层教学组织负责人工作职责，履行情况好。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有符合学校人才培养定位的基层教学组织发展规划、工作条例、基层教学组织负责人工作职责，履行有效果。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79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widowControl/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有详细、科学、合理的基层教学组织学期（学年）工作计划和工作总结。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有基层教学组织学期（学年）工作计划和工作总结。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79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widowControl/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pacing w:val="-20"/>
              </w:rPr>
            </w:pPr>
            <w:r>
              <w:rPr>
                <w:rFonts w:asciiTheme="minorEastAsia" w:hAnsiTheme="minorEastAsia" w:cstheme="minorEastAsia" w:hint="eastAsia"/>
                <w:spacing w:val="-20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.</w:t>
            </w:r>
            <w:r>
              <w:rPr>
                <w:rFonts w:asciiTheme="minorEastAsia" w:hAnsiTheme="minorEastAsia" w:cstheme="minorEastAsia" w:hint="eastAsia"/>
                <w:spacing w:val="-20"/>
              </w:rPr>
              <w:t>2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pacing w:val="-20"/>
              </w:rPr>
            </w:pPr>
            <w:r>
              <w:rPr>
                <w:rFonts w:asciiTheme="minorEastAsia" w:hAnsiTheme="minorEastAsia" w:cstheme="minorEastAsia" w:hint="eastAsia"/>
                <w:spacing w:val="-20"/>
              </w:rPr>
              <w:t>教学工作制度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备课、试讲、听课、公开课、教材选用、教学计划、教研活动、实践活动等各项制度健全、规范，且实施成效显著。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有关于备课、试教、听课、公开课、教材选用、教学计划、教研活动、实践活动等各项制度，实施有效果。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758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3．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教研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活动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（18分）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widowControl/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3.1</w:t>
            </w:r>
          </w:p>
          <w:p w:rsidR="00A54753" w:rsidRDefault="003213C2">
            <w:pPr>
              <w:widowControl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活动</w:t>
            </w:r>
          </w:p>
          <w:p w:rsidR="00A54753" w:rsidRDefault="003213C2">
            <w:pPr>
              <w:widowControl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计划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widowControl/>
              <w:spacing w:line="30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每学期制定详细的教研活动计划，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主题明确、与学校人才培养定位一致，执行情况好。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widowControl/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每学期制定教研活动计划，主题较明确，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与学校人才培养定位一致，能按计划执行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60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3.2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活动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开展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widowControl/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坚持开展教研活动，</w:t>
            </w:r>
            <w:r>
              <w:rPr>
                <w:rFonts w:asciiTheme="minorEastAsia" w:hAnsiTheme="minorEastAsia" w:cstheme="minorEastAsia" w:hint="eastAsia"/>
                <w:szCs w:val="21"/>
              </w:rPr>
              <w:t>教研活动≥6次/每学期。</w:t>
            </w:r>
          </w:p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活动记录、活动总结等相关资料完备。教研活动目标明确，主题突出，切合实际，可操作性强，对教学具有良好的促进作用，成效显著。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坚持开展教研活动，</w:t>
            </w:r>
            <w:r>
              <w:rPr>
                <w:rFonts w:asciiTheme="minorEastAsia" w:hAnsiTheme="minorEastAsia" w:cstheme="minorEastAsia" w:hint="eastAsia"/>
                <w:szCs w:val="21"/>
              </w:rPr>
              <w:t>教研活动≥3次/每学期。活动记录、活动总结等相关资料完备。教研活动目标明确，主题突出，切合实际，对教学具有一定的促进作用。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223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教研活动过程完整，内容具体详实，创新性较强。教研活动参与率达到≥85%。有2个以上专门的活动场所，且配有丰富的图书资料。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Pr="00555A98" w:rsidRDefault="003213C2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教研活动过程完整，内容具体详实，有一定的创新性。教研活动参与率达到≥70%。有专门的活动场所，且配有图书资料。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0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3.3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活动总结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widowControl/>
              <w:spacing w:line="30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每学期均有切实、详细的教研活动工作总结，并对下一阶段工作提出具体要求。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每学期均有教研活动工作总结，并对下一阶段工作提出要求。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04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4．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教学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管理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（22分）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4.1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工作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纪律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能严格遵守学校工作纪律，没有无故调课、停课、迟到、早退等教学差错和教学事故发生。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能遵守学校工作纪律，无迟到、早退等教学差错和教学事故发生；调课、停课手续完备，且人均每学期次数≤1次。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907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4.2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教学大纲与教学计划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能根据学校人才培养目标和专业培养方案，编写科学、合理的教学大纲和教学计划，实施成效显著。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能根据学校人才培养目标和专业培养方案，编写</w:t>
            </w:r>
            <w:r>
              <w:rPr>
                <w:rFonts w:asciiTheme="minorEastAsia" w:hAnsiTheme="minorEastAsia" w:cstheme="minorEastAsia" w:hint="eastAsia"/>
              </w:rPr>
              <w:t>教学大纲和教学计划，实施有效果。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191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4.3教案讲义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基层教学组织成员认真备课，有高质量的教案或讲义，且基本要素齐全，内容详细、格式统一、规范。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有教案或讲义，基本要素齐全。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668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4.4作业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考试及毕业论文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作业批改认真，辅导答疑等情况有详细记录，效果好；有完整的试题库及参考答案；试卷评阅认真、无差错；毕业论文设计有详尽的指导方案。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能完成作业批改任务，辅导答疑等情况有记录、有效果；有试题库及参考答案，试卷评阅无明显差错，毕业论文设计有指导方案。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08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4.5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试讲、听课及公开课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青年教师首次上课均组织了试讲并有记录；听评课制度落实情况好，并有详实的评课记录。</w:t>
            </w:r>
            <w:r>
              <w:rPr>
                <w:rFonts w:asciiTheme="minorEastAsia" w:hAnsiTheme="minorEastAsia" w:cstheme="minorEastAsia" w:hint="eastAsia"/>
                <w:szCs w:val="21"/>
              </w:rPr>
              <w:t>基层教学组织负责人每学期听课</w:t>
            </w:r>
            <w:r>
              <w:rPr>
                <w:rFonts w:asciiTheme="minorEastAsia" w:hAnsiTheme="minorEastAsia" w:cstheme="minorEastAsia" w:hint="eastAsia"/>
              </w:rPr>
              <w:t>≥</w:t>
            </w:r>
            <w:r>
              <w:rPr>
                <w:rFonts w:asciiTheme="minorEastAsia" w:hAnsiTheme="minorEastAsia" w:cstheme="minorEastAsia" w:hint="eastAsia"/>
                <w:szCs w:val="21"/>
              </w:rPr>
              <w:t>4次，教师间互相听课</w:t>
            </w:r>
            <w:r>
              <w:rPr>
                <w:rFonts w:asciiTheme="minorEastAsia" w:hAnsiTheme="minorEastAsia" w:cstheme="minorEastAsia" w:hint="eastAsia"/>
              </w:rPr>
              <w:t>≥</w:t>
            </w:r>
            <w:r>
              <w:rPr>
                <w:rFonts w:asciiTheme="minorEastAsia" w:hAnsiTheme="minorEastAsia" w:cstheme="minorEastAsia" w:hint="eastAsia"/>
                <w:szCs w:val="21"/>
              </w:rPr>
              <w:t>4次。</w:t>
            </w:r>
            <w:r>
              <w:rPr>
                <w:rFonts w:asciiTheme="minorEastAsia" w:hAnsiTheme="minorEastAsia" w:cstheme="minorEastAsia" w:hint="eastAsia"/>
              </w:rPr>
              <w:t xml:space="preserve"> （注：2课时/次）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青年教师首次上课均组织了试讲并有记录；集体听课制度落实较好；</w:t>
            </w:r>
            <w:r>
              <w:rPr>
                <w:rFonts w:asciiTheme="minorEastAsia" w:hAnsiTheme="minorEastAsia" w:cstheme="minorEastAsia" w:hint="eastAsia"/>
                <w:szCs w:val="21"/>
              </w:rPr>
              <w:t>基层教学组织负责每学期听课</w:t>
            </w:r>
            <w:r>
              <w:rPr>
                <w:rFonts w:asciiTheme="minorEastAsia" w:hAnsiTheme="minorEastAsia" w:cstheme="minorEastAsia" w:hint="eastAsia"/>
              </w:rPr>
              <w:t>≥</w:t>
            </w:r>
            <w:r>
              <w:rPr>
                <w:rFonts w:asciiTheme="minorEastAsia" w:hAnsiTheme="minorEastAsia" w:cstheme="minorEastAsia" w:hint="eastAsia"/>
                <w:szCs w:val="21"/>
              </w:rPr>
              <w:t>2次，教师间互相听课</w:t>
            </w:r>
            <w:r>
              <w:rPr>
                <w:rFonts w:asciiTheme="minorEastAsia" w:hAnsiTheme="minorEastAsia" w:cstheme="minorEastAsia" w:hint="eastAsia"/>
              </w:rPr>
              <w:t>≥</w:t>
            </w:r>
            <w:r>
              <w:rPr>
                <w:rFonts w:asciiTheme="minorEastAsia" w:hAnsiTheme="minorEastAsia" w:cstheme="minorEastAsia" w:hint="eastAsia"/>
                <w:szCs w:val="21"/>
              </w:rPr>
              <w:t>2次。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99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有重点地组织了观摩课教学，近三年举行公开课次数≥6次，评议记录完整详实。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组织了观摩课教学，近三年举行公开课次数≥4次，有评议记录。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88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5．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教学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研究与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改革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（30分）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5.1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教改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课题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教学改革思路明确、鼓励教学改革研究的措施有力，执行情况好；近三年获得省部级及以上或校级重点教改项目立项</w:t>
            </w:r>
            <w:r>
              <w:rPr>
                <w:rFonts w:asciiTheme="minorEastAsia" w:hAnsiTheme="minorEastAsia" w:cstheme="minorEastAsia" w:hint="eastAsia"/>
              </w:rPr>
              <w:t>≥1项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有教学改革思路和鼓励教学改革与研究的措施，执行情况较好；近三年获得校级教改课题立项数≥1项。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906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5.2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教改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论文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基层教学组织成员</w:t>
            </w:r>
            <w:r>
              <w:rPr>
                <w:rFonts w:asciiTheme="minorEastAsia" w:hAnsiTheme="minorEastAsia" w:cstheme="minorEastAsia" w:hint="eastAsia"/>
                <w:szCs w:val="21"/>
              </w:rPr>
              <w:t>近三年</w:t>
            </w:r>
            <w:r>
              <w:rPr>
                <w:rFonts w:asciiTheme="minorEastAsia" w:hAnsiTheme="minorEastAsia" w:cstheme="minorEastAsia" w:hint="eastAsia"/>
              </w:rPr>
              <w:t>人均以第一作者身份公开发表教改论文</w:t>
            </w:r>
            <w:r>
              <w:rPr>
                <w:rFonts w:asciiTheme="minorEastAsia" w:hAnsiTheme="minorEastAsia" w:cstheme="minorEastAsia" w:hint="eastAsia"/>
                <w:szCs w:val="21"/>
              </w:rPr>
              <w:t>≥1篇</w:t>
            </w:r>
            <w:r>
              <w:rPr>
                <w:rFonts w:asciiTheme="minorEastAsia" w:hAnsiTheme="minorEastAsia" w:cstheme="minorEastAsia" w:hint="eastAsia"/>
              </w:rPr>
              <w:t>。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基层教学组织成员</w:t>
            </w:r>
            <w:r>
              <w:rPr>
                <w:rFonts w:asciiTheme="minorEastAsia" w:hAnsiTheme="minorEastAsia" w:cstheme="minorEastAsia" w:hint="eastAsia"/>
                <w:szCs w:val="21"/>
              </w:rPr>
              <w:t>近三年</w:t>
            </w:r>
            <w:r>
              <w:rPr>
                <w:rFonts w:asciiTheme="minorEastAsia" w:hAnsiTheme="minorEastAsia" w:cstheme="minorEastAsia" w:hint="eastAsia"/>
              </w:rPr>
              <w:t>人均以第一作者身份公开发表教研论文</w:t>
            </w:r>
            <w:r>
              <w:rPr>
                <w:rFonts w:asciiTheme="minorEastAsia" w:hAnsiTheme="minorEastAsia" w:cstheme="minorEastAsia" w:hint="eastAsia"/>
                <w:szCs w:val="21"/>
              </w:rPr>
              <w:t>≥</w:t>
            </w:r>
            <w:r>
              <w:rPr>
                <w:rFonts w:asciiTheme="minorEastAsia" w:hAnsiTheme="minorEastAsia" w:cstheme="minorEastAsia" w:hint="eastAsia"/>
              </w:rPr>
              <w:t>0.5篇。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666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5.3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教学成果奖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教学改革成果显著，近三年获校级一等奖或省部级及以上教学成果奖励≥1项。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教学改革取得一定成效，近三年获得校级教学成果奖≥1项。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088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5.4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pacing w:val="-18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18"/>
                <w:szCs w:val="21"/>
              </w:rPr>
              <w:t>课程改革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18"/>
                <w:szCs w:val="21"/>
              </w:rPr>
              <w:t>与建设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课程建设规划科学，有计划、有措施、成效显著，有校级及以上一流课程。关注学生对课程的反馈。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课程改革与建设有计划、有措施。关注学生对课程的反馈。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91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5.5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教学方法与手段改革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能采用恰当形式实现师生互动，运用讨论式、研究式、混合式等教学方法，启迪学生思考，有效地调动学生的学习积极性。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注重教学方法的改进，能够运用多种教学方法，能够调动学生的学习积极性。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18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实践教学方法得当，在培养学生发现问题、分析问题和解决问题的能力方面已有显著成效。能开展双语教学的尝试。能根据课程特点恰当运用现代教育技术和传统教学手段，以最佳方式教学。教师平均每学期人均应用移动教学或混合式教学的课时≥15%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实践教学方法得当，在培养学生发现问题、分析问题和解决问题的能力方面作用明显。能根据课程特点合理选用现代教育技术和传统教学手段，效果较好。教师平均每学期人均应用移动教学或混合式教学的课时≥10%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18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5.6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教材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建设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有切实可行、目标明确的教材建设规划，执行情况好。选用能反映本学科发展前沿的省部级及以上优秀教材或21世纪规划教材的比例≥90%。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有教材建设规划，执行情况较好。选用能反映本学科发展前沿的省部级及以上优秀教材或21世纪规划教材的比例≥60%。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01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有校级及以上优秀自编教材；根据课程特点开发和应用</w:t>
            </w:r>
            <w:r>
              <w:rPr>
                <w:rFonts w:asciiTheme="minorEastAsia" w:hAnsiTheme="minorEastAsia" w:cstheme="minorEastAsia" w:hint="eastAsia"/>
              </w:rPr>
              <w:t>高质量</w:t>
            </w:r>
            <w:r>
              <w:rPr>
                <w:rFonts w:asciiTheme="minorEastAsia" w:hAnsiTheme="minorEastAsia" w:cstheme="minorEastAsia" w:hint="eastAsia"/>
                <w:szCs w:val="21"/>
              </w:rPr>
              <w:t>的课件，实验教材配套齐全，满足教学需要。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有主讲教师自编的相关讲义，配套的辅助教材齐备。实验教材基本满足教学需要。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22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6．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科学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研究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（3分）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6.1</w:t>
            </w:r>
            <w:r>
              <w:rPr>
                <w:rFonts w:asciiTheme="minorEastAsia" w:hAnsiTheme="minorEastAsia" w:cstheme="minorEastAsia" w:hint="eastAsia"/>
                <w:szCs w:val="21"/>
              </w:rPr>
              <w:t>科学研究项目及论文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科研成果显著，近三年获得省部级及以上科学研究项目立项≥1项，教师人均以第一作者身份公开发表科研论文≥2篇。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近三年获得校级科学研究项目立项≥1项，教师人均以第一作者身份公开发表科研论文≥1篇。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061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7．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教学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实绩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（12分）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7.1</w:t>
            </w:r>
          </w:p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教学质量考核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 w:rsidP="00787174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近三年至少有一名教师课堂教学质量评价为优秀（指在本</w:t>
            </w:r>
            <w:r w:rsidR="00787174">
              <w:rPr>
                <w:rFonts w:asciiTheme="minorEastAsia" w:hAnsiTheme="minorEastAsia" w:cstheme="minorEastAsia" w:hint="eastAsia"/>
                <w:szCs w:val="21"/>
              </w:rPr>
              <w:t>院系</w:t>
            </w:r>
            <w:r>
              <w:rPr>
                <w:rFonts w:asciiTheme="minorEastAsia" w:hAnsiTheme="minorEastAsia" w:cstheme="minorEastAsia" w:hint="eastAsia"/>
                <w:szCs w:val="21"/>
              </w:rPr>
              <w:t>年度课堂教学质量评价排名处于前15%）。学生对课程的满意度</w:t>
            </w:r>
            <w:r>
              <w:rPr>
                <w:rFonts w:asciiTheme="minorEastAsia" w:hAnsiTheme="minorEastAsia" w:cstheme="minorEastAsia" w:hint="eastAsia"/>
              </w:rPr>
              <w:t>≥90%。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近三年</w:t>
            </w:r>
            <w:r>
              <w:rPr>
                <w:rFonts w:asciiTheme="minorEastAsia" w:hAnsiTheme="minorEastAsia" w:cstheme="minorEastAsia" w:hint="eastAsia"/>
              </w:rPr>
              <w:t>全体</w:t>
            </w:r>
            <w:r>
              <w:rPr>
                <w:rFonts w:asciiTheme="minorEastAsia" w:hAnsiTheme="minorEastAsia" w:cstheme="minorEastAsia" w:hint="eastAsia"/>
                <w:szCs w:val="21"/>
              </w:rPr>
              <w:t>教师课堂教学质量评价合格率为100%。学生对课程的满意度</w:t>
            </w:r>
            <w:r>
              <w:rPr>
                <w:rFonts w:asciiTheme="minorEastAsia" w:hAnsiTheme="minorEastAsia" w:cstheme="minorEastAsia" w:hint="eastAsia"/>
              </w:rPr>
              <w:t>≥80%。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149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7.2集体和个人奖励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近三年集体或个人在各种争优创先活动、讲课比赛中获省部级及以上奖励或荣誉称号（或校级一等奖）≥1项。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近三年集体或个人在各种争优创先活动、讲课比赛中获校级奖励或荣誉称号≥1项。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1149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7.3</w:t>
            </w:r>
            <w:r>
              <w:rPr>
                <w:rFonts w:asciiTheme="minorEastAsia" w:hAnsiTheme="minorEastAsia" w:cstheme="minorEastAsia" w:hint="eastAsia"/>
                <w:szCs w:val="21"/>
              </w:rPr>
              <w:t>学生所获奖励或立项课题、公开发表的论文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近三年学生所获得的与基层教学组织所授课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程相关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的各类省部级及以上奖励或课题立项或公开发表论文≥3项。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近三年学生所获得的与基层教学组织所授课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程相关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的各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类校极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奖励或课题立项或公开发表论文≥1项。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  <w:tr w:rsidR="00A54753">
        <w:trPr>
          <w:cantSplit/>
          <w:trHeight w:val="871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3213C2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</w:rPr>
              <w:t>总得分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3" w:rsidRDefault="00A54753">
            <w:pPr>
              <w:spacing w:line="30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3" w:rsidRDefault="00A54753"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</w:tc>
      </w:tr>
    </w:tbl>
    <w:p w:rsidR="00A54753" w:rsidRDefault="003213C2">
      <w:pPr>
        <w:spacing w:line="30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说明：</w:t>
      </w:r>
    </w:p>
    <w:p w:rsidR="00A54753" w:rsidRDefault="003213C2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1．本指标体系包括一级指标7项，二级指标22项，28个观测点，分出A、B、C、D四个质量等级。指标体系中给出了A、 C两个等级的评估标准，介于A、C两级之间为B级，低于C级的为D级。</w:t>
      </w:r>
    </w:p>
    <w:p w:rsidR="00A54753" w:rsidRDefault="003213C2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157480</wp:posOffset>
                </wp:positionV>
                <wp:extent cx="688975" cy="502285"/>
                <wp:effectExtent l="0" t="0" r="0" b="12065"/>
                <wp:wrapNone/>
                <wp:docPr id="10" name="画布 1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26670" y="56515"/>
                            <a:ext cx="15430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54753" w:rsidRDefault="003213C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95250" y="294640"/>
                            <a:ext cx="488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54753" w:rsidRDefault="003213C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151765" y="303530"/>
                            <a:ext cx="450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54753" w:rsidRDefault="003213C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53340" y="304165"/>
                            <a:ext cx="209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54753" w:rsidRDefault="003213C2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矩形 19"/>
                        <wps:cNvSpPr>
                          <a:spLocks noChangeArrowheads="1"/>
                        </wps:cNvSpPr>
                        <wps:spPr bwMode="auto">
                          <a:xfrm>
                            <a:off x="611505" y="202565"/>
                            <a:ext cx="209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54753" w:rsidRDefault="003213C2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396240" y="202565"/>
                            <a:ext cx="209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54753" w:rsidRDefault="003213C2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440055" y="113030"/>
                            <a:ext cx="12001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54753" w:rsidRDefault="003213C2"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矩形 22"/>
                        <wps:cNvSpPr>
                          <a:spLocks noChangeArrowheads="1"/>
                        </wps:cNvSpPr>
                        <wps:spPr bwMode="auto">
                          <a:xfrm>
                            <a:off x="266065" y="113030"/>
                            <a:ext cx="730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54753" w:rsidRDefault="003213C2"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72390" y="43180"/>
                            <a:ext cx="901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54753" w:rsidRDefault="003213C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44pt;margin-top:12.4pt;height:39.55pt;width:54.25pt;z-index:251659264;mso-width-relative:page;mso-height-relative:page;" coordsize="688975,502285" editas="canvas" o:gfxdata="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AhwcJE2wAAAAoBAAAPAAAAAAAAAAEAIAAAACIAAABkcnMvZG93bnJl&#10;di54bWxQSwECFAAUAAAACACHTuJA2ia6eIkDAACwFgAADgAAAAAAAAABACAAAAAqAQAAZHJzL2Uy&#10;b0RvYy54bWxQSwUGAAAAAAYABgBZAQAAJQcAAAAA&#10;">
                <o:lock v:ext="edit" aspectratio="f"/>
                <v:shape id="_x0000_s1026" o:spid="_x0000_s1026" style="position:absolute;left:0;top:0;height:502285;width:688975;" filled="f" stroked="f" coordsize="21600,21600" o:gfxdata="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IcHCRNsAAAAKAQAADwAAAAAAAAABACAAAAAiAAAAZHJzL2Rvd25yZXYueG1sUEsBAhQAFAAAAAgA&#10;h07iQHeouN4/AwAALxYAAA4AAAAAAAAAAQAgAAAAKgEAAGRycy9lMm9Eb2MueG1sUEsFBgAAAAAG&#10;AAYAWQEAANsGAAAAAA==&#10;">
                  <v:fill on="f" focussize="0,0"/>
                  <v:stroke on="f"/>
                  <v:imagedata o:title=""/>
                  <o:lock v:ext="edit" aspectratio="f"/>
                </v:shape>
                <v:rect id="矩形 15" o:spid="_x0000_s1026" o:spt="1" style="position:absolute;left:26670;top:56515;height:396240;width:154305;mso-wrap-style:none;" filled="f" stroked="f" coordsize="21600,21600" o:gfxdata="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kMpT1wAAAAoBAAAPAAAAAAAAAAEA&#10;IAAAACIAAABkcnMvZG93bnJldi54bWxQSwECFAAUAAAACACHTuJAPiPgbhACAAAMBAAADgAAAAAA&#10;AAABACAAAAAmAQAAZHJzL2Uyb0RvYy54bWxQSwUGAAAAAAYABgBZAQAAq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</w:rPr>
                          <w:t></w:t>
                        </w:r>
                      </w:p>
                    </w:txbxContent>
                  </v:textbox>
                </v:rect>
                <v:rect id="矩形 16" o:spid="_x0000_s1026" o:spt="1" style="position:absolute;left:95250;top:294640;height:198120;width:48895;mso-wrap-style:none;" filled="f" stroked="f" coordsize="21600,21600" o:gfxdata="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iQylPXAAAACgEAAA8AAAAAAAAAAQAg&#10;AAAAIgAAAGRycy9kb3ducmV2LnhtbFBLAQIUABQAAAAIAIdO4kCzbXoIDwIAAAwEAAAOAAAAAAAA&#10;AAEAIAAAACYBAABkcnMvZTJvRG9jLnhtbFBLBQYAAAAABgAGAFkBAACn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</w:rPr>
                          <w:t></w:t>
                        </w:r>
                      </w:p>
                    </w:txbxContent>
                  </v:textbox>
                </v:rect>
                <v:rect id="矩形 17" o:spid="_x0000_s1026" o:spt="1" style="position:absolute;left:151765;top:303530;height:198120;width:45085;mso-wrap-style:none;" filled="f" stroked="f" coordsize="21600,21600" o:gfxdata="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iQylPXAAAACgEAAA8AAAAAAAAAAQAg&#10;AAAAIgAAAGRycy9kb3ducmV2LnhtbFBLAQIUABQAAAAIAIdO4kDU1KJgDwIAAA0EAAAOAAAAAAAA&#10;AAEAIAAAACYBAABkcnMvZTJvRG9jLnhtbFBLBQYAAAAABgAGAFkBAACn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rect>
                <v:rect id="矩形 18" o:spid="_x0000_s1026" o:spt="1" style="position:absolute;left:53340;top:304165;height:198120;width:20955;mso-wrap-style:none;" filled="f" stroked="f" coordsize="21600,21600" o:gfxdata="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JDKU9cAAAAKAQAADwAAAAAAAAAB&#10;ACAAAAAiAAAAZHJzL2Rvd25yZXYueG1sUEsBAhQAFAAAAAgAh07iQK7plbsRAgAADAQAAA4AAAAA&#10;AAAAAQAgAAAAJgEAAGRycy9lMm9Eb2MueG1sUEsFBgAAAAAGAAYAWQEAAK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xbxContent>
                  </v:textbox>
                </v:rect>
                <v:rect id="矩形 19" o:spid="_x0000_s1026" o:spt="1" style="position:absolute;left:611505;top:202565;height:198120;width:20955;mso-wrap-style:none;" filled="f" stroked="f" coordsize="21600,21600" o:gfxdata="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kMpT1wAAAAoBAAAPAAAAAAAAAAEA&#10;IAAAACIAAABkcnMvZG93bnJldi54bWxQSwECFAAUAAAACACHTuJASg8lvxACAAANBAAADgAAAAAA&#10;AAABACAAAAAmAQAAZHJzL2Uyb0RvYy54bWxQSwUGAAAAAAYABgBZAQAAq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xbxContent>
                  </v:textbox>
                </v:rect>
                <v:rect id="矩形 20" o:spid="_x0000_s1026" o:spt="1" style="position:absolute;left:396240;top:202565;height:198120;width:20955;mso-wrap-style:none;" filled="f" stroked="f" coordsize="21600,21600" o:gfxdata="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kMpT1wAAAAoBAAAPAAAAAAAAAAEA&#10;IAAAACIAAABkcnMvZG93bnJldi54bWxQSwECFAAUAAAACACHTuJAykKfthACAAANBAAADgAAAAAA&#10;AAABACAAAAAmAQAAZHJzL2Uyb0RvYy54bWxQSwUGAAAAAAYABgBZAQAAq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xbxContent>
                  </v:textbox>
                </v:rect>
                <v:rect id="矩形 21" o:spid="_x0000_s1026" o:spt="1" style="position:absolute;left:440055;top:113030;height:198120;width:120015;mso-wrap-style:none;" filled="f" stroked="f" coordsize="21600,21600" o:gfxdata="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iQylPXAAAACgEAAA8AAAAAAAAAAQAgAAAA&#10;IgAAAGRycy9kb3ducmV2LnhtbFBLAQIUABQAAAAIAIdO4kDzfxG3DAIAAA4EAAAOAAAAAAAAAAEA&#10;IAAAACYBAABkcnMvZTJvRG9jLnhtbFBLBQYAAAAABgAGAFkBAAC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i/>
                            <w:iCs/>
                            <w:color w:val="000000"/>
                            <w:sz w:val="22"/>
                          </w:rPr>
                          <w:t>M</w:t>
                        </w:r>
                      </w:p>
                    </w:txbxContent>
                  </v:textbox>
                </v:rect>
                <v:rect id="矩形 22" o:spid="_x0000_s1026" o:spt="1" style="position:absolute;left:266065;top:113030;height:198120;width:73025;mso-wrap-style:none;" filled="f" stroked="f" coordsize="21600,21600" o:gfxdata="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kMpT1wAAAAoBAAAPAAAAAAAAAAEAIAAA&#10;ACIAAABkcnMvZG93bnJldi54bWxQSwECFAAUAAAACACHTuJAadiK+g0CAAANBAAADgAAAAAAAAAB&#10;ACAAAAAmAQAAZHJzL2Uyb0RvYy54bWxQSwUGAAAAAAYABgBZAQAAp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i/>
                            <w:iCs/>
                            <w:color w:val="000000"/>
                            <w:sz w:val="22"/>
                          </w:rPr>
                          <w:t>K</w:t>
                        </w:r>
                      </w:p>
                    </w:txbxContent>
                  </v:textbox>
                </v:rect>
                <v:rect id="矩形 23" o:spid="_x0000_s1026" o:spt="1" style="position:absolute;left:72390;top:43180;height:198120;width:90170;mso-wrap-style:none;" filled="f" stroked="f" coordsize="21600,21600" o:gfxdata="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kMpT1wAAAAoBAAAPAAAAAAAAAAEAIAAA&#10;ACIAAABkcnMvZG93bnJldi54bWxQSwECFAAUAAAACACHTuJABcJNyQ0CAAALBAAADgAAAAAAAAAB&#10;ACAAAAAmAQAAZHJzL2Uyb0RvYy54bWxQSwUGAAAAAAYABgBZAQAAp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/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宋体" w:hAnsi="宋体" w:hint="eastAsia"/>
          <w:color w:val="000000"/>
          <w:sz w:val="24"/>
        </w:rPr>
        <w:t>2．每个二级指标都有相应的分值和权重，</w:t>
      </w:r>
      <w:proofErr w:type="spellStart"/>
      <w:r>
        <w:rPr>
          <w:rFonts w:ascii="宋体" w:hAnsi="宋体" w:hint="eastAsia"/>
          <w:color w:val="000000"/>
          <w:sz w:val="24"/>
        </w:rPr>
        <w:t>Mi</w:t>
      </w:r>
      <w:proofErr w:type="spellEnd"/>
      <w:r>
        <w:rPr>
          <w:rFonts w:ascii="宋体" w:hAnsi="宋体" w:hint="eastAsia"/>
          <w:color w:val="000000"/>
          <w:sz w:val="24"/>
        </w:rPr>
        <w:t>是各二级指标的分值，Ki为权重，A、B、C、D的权重系数分别为1.0、0.8、0.6、0.4，评估得分计算：</w:t>
      </w:r>
      <w:proofErr w:type="gramStart"/>
      <w:r>
        <w:rPr>
          <w:rFonts w:ascii="宋体" w:hAnsi="宋体" w:hint="eastAsia"/>
          <w:color w:val="000000"/>
          <w:sz w:val="24"/>
        </w:rPr>
        <w:t>M</w:t>
      </w:r>
      <w:r>
        <w:rPr>
          <w:rFonts w:ascii="宋体" w:hAnsi="宋体" w:hint="eastAsia"/>
          <w:sz w:val="24"/>
          <w:vertAlign w:val="subscript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=</w:t>
      </w:r>
      <w:proofErr w:type="gramEnd"/>
    </w:p>
    <w:p w:rsidR="00A54753" w:rsidRDefault="00A54753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A54753" w:rsidRDefault="003213C2">
      <w:pPr>
        <w:spacing w:line="300" w:lineRule="auto"/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color w:val="000000"/>
          <w:sz w:val="24"/>
        </w:rPr>
        <w:t>3．总分在90-100分之间为优秀，75-89分之间为良好，74-60分之间为合格，59分及以下为不合格。</w:t>
      </w:r>
    </w:p>
    <w:sectPr w:rsidR="00A54753">
      <w:head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B5" w:rsidRDefault="004378B5">
      <w:r>
        <w:separator/>
      </w:r>
    </w:p>
  </w:endnote>
  <w:endnote w:type="continuationSeparator" w:id="0">
    <w:p w:rsidR="004378B5" w:rsidRDefault="0043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B5" w:rsidRDefault="004378B5">
      <w:r>
        <w:separator/>
      </w:r>
    </w:p>
  </w:footnote>
  <w:footnote w:type="continuationSeparator" w:id="0">
    <w:p w:rsidR="004378B5" w:rsidRDefault="0043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53" w:rsidRDefault="00A5475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CD"/>
    <w:rsid w:val="000132C8"/>
    <w:rsid w:val="00063560"/>
    <w:rsid w:val="000C5E32"/>
    <w:rsid w:val="00143529"/>
    <w:rsid w:val="0015065D"/>
    <w:rsid w:val="00166E2A"/>
    <w:rsid w:val="001939B3"/>
    <w:rsid w:val="001C5AE5"/>
    <w:rsid w:val="00232B28"/>
    <w:rsid w:val="0026382F"/>
    <w:rsid w:val="00274FA4"/>
    <w:rsid w:val="00292E15"/>
    <w:rsid w:val="002A2D8F"/>
    <w:rsid w:val="002A5075"/>
    <w:rsid w:val="002D0C52"/>
    <w:rsid w:val="002E6128"/>
    <w:rsid w:val="003213C2"/>
    <w:rsid w:val="00343E03"/>
    <w:rsid w:val="00386013"/>
    <w:rsid w:val="003934EA"/>
    <w:rsid w:val="003979CD"/>
    <w:rsid w:val="00401AD5"/>
    <w:rsid w:val="004378B5"/>
    <w:rsid w:val="004476CB"/>
    <w:rsid w:val="004B038A"/>
    <w:rsid w:val="004E2CD6"/>
    <w:rsid w:val="004E7BE4"/>
    <w:rsid w:val="004F45BD"/>
    <w:rsid w:val="00521D36"/>
    <w:rsid w:val="00555A98"/>
    <w:rsid w:val="005613DD"/>
    <w:rsid w:val="005923A2"/>
    <w:rsid w:val="005B7A67"/>
    <w:rsid w:val="005C6888"/>
    <w:rsid w:val="00624921"/>
    <w:rsid w:val="00627185"/>
    <w:rsid w:val="00662D9C"/>
    <w:rsid w:val="0066575F"/>
    <w:rsid w:val="00670CEC"/>
    <w:rsid w:val="006C5728"/>
    <w:rsid w:val="006D5BFA"/>
    <w:rsid w:val="006E08E3"/>
    <w:rsid w:val="00700DA9"/>
    <w:rsid w:val="00701660"/>
    <w:rsid w:val="00722937"/>
    <w:rsid w:val="007259F3"/>
    <w:rsid w:val="00735662"/>
    <w:rsid w:val="00762199"/>
    <w:rsid w:val="00763F53"/>
    <w:rsid w:val="00787174"/>
    <w:rsid w:val="007A17A1"/>
    <w:rsid w:val="007B4EC2"/>
    <w:rsid w:val="007D0700"/>
    <w:rsid w:val="007E6AF4"/>
    <w:rsid w:val="0081557C"/>
    <w:rsid w:val="00846BCD"/>
    <w:rsid w:val="008821FE"/>
    <w:rsid w:val="008916BB"/>
    <w:rsid w:val="008A4BD8"/>
    <w:rsid w:val="008B115A"/>
    <w:rsid w:val="008C2AAB"/>
    <w:rsid w:val="00943AE7"/>
    <w:rsid w:val="009F1774"/>
    <w:rsid w:val="00A1526F"/>
    <w:rsid w:val="00A52A31"/>
    <w:rsid w:val="00A54753"/>
    <w:rsid w:val="00AE30E5"/>
    <w:rsid w:val="00AF2654"/>
    <w:rsid w:val="00AF5F9C"/>
    <w:rsid w:val="00B0027C"/>
    <w:rsid w:val="00B33CA4"/>
    <w:rsid w:val="00BB032B"/>
    <w:rsid w:val="00BB639F"/>
    <w:rsid w:val="00BE6219"/>
    <w:rsid w:val="00C15B72"/>
    <w:rsid w:val="00C57E75"/>
    <w:rsid w:val="00C86DE8"/>
    <w:rsid w:val="00CD2DA9"/>
    <w:rsid w:val="00CD7B93"/>
    <w:rsid w:val="00D10B94"/>
    <w:rsid w:val="00D14F6F"/>
    <w:rsid w:val="00D317F4"/>
    <w:rsid w:val="00D72CB9"/>
    <w:rsid w:val="00D854A7"/>
    <w:rsid w:val="00E82AD1"/>
    <w:rsid w:val="00E853A6"/>
    <w:rsid w:val="00EB7AE1"/>
    <w:rsid w:val="00EE5F71"/>
    <w:rsid w:val="00F23BE4"/>
    <w:rsid w:val="00F33178"/>
    <w:rsid w:val="00F36D01"/>
    <w:rsid w:val="00F43303"/>
    <w:rsid w:val="00F70F56"/>
    <w:rsid w:val="080519A4"/>
    <w:rsid w:val="0A526829"/>
    <w:rsid w:val="2CD81155"/>
    <w:rsid w:val="315536B0"/>
    <w:rsid w:val="393A2827"/>
    <w:rsid w:val="3BAF090E"/>
    <w:rsid w:val="3DDB7EDB"/>
    <w:rsid w:val="449914F0"/>
    <w:rsid w:val="460E2BCE"/>
    <w:rsid w:val="4E7807C5"/>
    <w:rsid w:val="595C1750"/>
    <w:rsid w:val="5A8F4F0E"/>
    <w:rsid w:val="5D65338B"/>
    <w:rsid w:val="5D7D4ED5"/>
    <w:rsid w:val="628854FA"/>
    <w:rsid w:val="6BF441B2"/>
    <w:rsid w:val="6FBD03ED"/>
    <w:rsid w:val="72D25DDA"/>
    <w:rsid w:val="778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unhideWhenUsed/>
    <w:qFormat/>
    <w:rPr>
      <w:b/>
      <w:bCs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unhideWhenUsed/>
    <w:qFormat/>
    <w:rPr>
      <w:b/>
      <w:bCs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534</Words>
  <Characters>3044</Characters>
  <Application>Microsoft Office Word</Application>
  <DocSecurity>0</DocSecurity>
  <Lines>25</Lines>
  <Paragraphs>7</Paragraphs>
  <ScaleCrop>false</ScaleCrop>
  <Company>MS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王欢</cp:lastModifiedBy>
  <cp:revision>11</cp:revision>
  <cp:lastPrinted>2020-10-13T01:06:00Z</cp:lastPrinted>
  <dcterms:created xsi:type="dcterms:W3CDTF">2020-09-15T01:19:00Z</dcterms:created>
  <dcterms:modified xsi:type="dcterms:W3CDTF">2021-09-18T03:04:00Z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391378825_btnclosed</vt:lpwstr>
  </property>
</Properties>
</file>